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B2C7D1">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both"/>
        <w:textAlignment w:val="auto"/>
        <w:outlineLvl w:val="9"/>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附件3</w:t>
      </w:r>
    </w:p>
    <w:p w14:paraId="420D8F4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岳阳市工业和信息化局2026</w:t>
      </w:r>
      <w:r>
        <w:rPr>
          <w:rFonts w:hint="eastAsia" w:ascii="方正小标宋简体" w:hAnsi="方正小标宋简体" w:eastAsia="方正小标宋简体" w:cs="方正小标宋简体"/>
          <w:sz w:val="44"/>
          <w:szCs w:val="44"/>
          <w:lang w:val="en-US" w:eastAsia="zh-CN"/>
        </w:rPr>
        <w:t>-2027</w:t>
      </w:r>
      <w:r>
        <w:rPr>
          <w:rFonts w:hint="eastAsia" w:ascii="方正小标宋简体" w:hAnsi="方正小标宋简体" w:eastAsia="方正小标宋简体" w:cs="方正小标宋简体"/>
          <w:sz w:val="44"/>
          <w:szCs w:val="44"/>
          <w:lang w:eastAsia="zh-CN"/>
        </w:rPr>
        <w:t>年度</w:t>
      </w:r>
    </w:p>
    <w:p w14:paraId="55DC3CE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法律顾问服务项目</w:t>
      </w:r>
      <w:r>
        <w:rPr>
          <w:rFonts w:hint="eastAsia" w:ascii="方正小标宋简体" w:hAnsi="方正小标宋简体" w:eastAsia="方正小标宋简体" w:cs="方正小标宋简体"/>
          <w:sz w:val="44"/>
          <w:szCs w:val="44"/>
          <w:lang w:val="en-US" w:eastAsia="zh-CN"/>
        </w:rPr>
        <w:t>竞争性磋商</w:t>
      </w:r>
      <w:r>
        <w:rPr>
          <w:rFonts w:hint="eastAsia" w:ascii="方正小标宋简体" w:hAnsi="方正小标宋简体" w:eastAsia="方正小标宋简体" w:cs="方正小标宋简体"/>
          <w:sz w:val="44"/>
          <w:szCs w:val="44"/>
          <w:lang w:eastAsia="zh-CN"/>
        </w:rPr>
        <w:t>材料</w:t>
      </w:r>
    </w:p>
    <w:p w14:paraId="1A89A44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评分标准</w:t>
      </w:r>
    </w:p>
    <w:p w14:paraId="52C80E7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p>
    <w:p w14:paraId="5CD1793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评分方法：综合评分法</w:t>
      </w:r>
    </w:p>
    <w:p w14:paraId="5C9A975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总分：100分，其</w:t>
      </w:r>
      <w:bookmarkStart w:id="0" w:name="_GoBack"/>
      <w:bookmarkEnd w:id="0"/>
      <w:r>
        <w:rPr>
          <w:rFonts w:hint="eastAsia" w:ascii="仿宋_GB2312" w:hAnsi="仿宋_GB2312" w:eastAsia="仿宋_GB2312" w:cs="仿宋_GB2312"/>
          <w:sz w:val="32"/>
          <w:szCs w:val="32"/>
          <w:lang w:eastAsia="zh-CN"/>
        </w:rPr>
        <w:t>中综合实力20分、服务部分</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lang w:eastAsia="zh-CN"/>
        </w:rPr>
        <w:t>0分、价格部分</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lang w:eastAsia="zh-CN"/>
        </w:rPr>
        <w:t>分。</w:t>
      </w:r>
    </w:p>
    <w:p w14:paraId="54386A5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一、综合实力（20分）</w:t>
      </w:r>
    </w:p>
    <w:p w14:paraId="64194B9A">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（一）律所现有专职律师数量（5分）</w:t>
      </w:r>
    </w:p>
    <w:p w14:paraId="4524FF4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律师人数达到10人及以上的，得5分；律师人数达到6人及以上但少于10人的，得3分；律师人数达到3人及以上但少于6人的，得1分；律师人数少于3人，得0分。</w:t>
      </w:r>
    </w:p>
    <w:p w14:paraId="1D6145F1">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（二）拟安排的项目负责人（仅限一人）情况（5分）</w:t>
      </w:r>
    </w:p>
    <w:p w14:paraId="5432D35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项目负责人为律所负责人（律所主任）得5分；项目负责人为合伙人得3分；项目负责人为专职执业律师得1分。</w:t>
      </w:r>
    </w:p>
    <w:p w14:paraId="1B997727">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（三）拟安排的项目主要团队成员（项目负责人除外）情况（</w:t>
      </w:r>
      <w:r>
        <w:rPr>
          <w:rFonts w:hint="eastAsia" w:ascii="仿宋_GB2312" w:hAnsi="仿宋_GB2312" w:eastAsia="仿宋_GB2312" w:cs="仿宋_GB2312"/>
          <w:b/>
          <w:bCs/>
          <w:sz w:val="32"/>
          <w:szCs w:val="32"/>
          <w:lang w:val="en-US" w:eastAsia="zh-CN"/>
        </w:rPr>
        <w:t>3</w:t>
      </w:r>
      <w:r>
        <w:rPr>
          <w:rFonts w:hint="eastAsia" w:ascii="仿宋_GB2312" w:hAnsi="仿宋_GB2312" w:eastAsia="仿宋_GB2312" w:cs="仿宋_GB2312"/>
          <w:b/>
          <w:bCs/>
          <w:sz w:val="32"/>
          <w:szCs w:val="32"/>
          <w:lang w:eastAsia="zh-CN"/>
        </w:rPr>
        <w:t>分）</w:t>
      </w:r>
    </w:p>
    <w:p w14:paraId="641E2B1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律所须针对本项目从现有专职律师中组建服务团队，团队成员不少于2人（不含项目负责人）。团队成员均为法律硕士及以上学历、专职执业律师，或者本科及以上学历、合伙人专职执业律师得</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分；团队成员均为法律本科或非法学硕士及以上学历、专职执业律师得</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分；团队成员均为非法学本科学历、专职执业律师得1分。</w:t>
      </w:r>
    </w:p>
    <w:p w14:paraId="4CC219DF">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（四）同类项目业绩（</w:t>
      </w:r>
      <w:r>
        <w:rPr>
          <w:rFonts w:hint="eastAsia" w:ascii="仿宋_GB2312" w:hAnsi="仿宋_GB2312" w:eastAsia="仿宋_GB2312" w:cs="仿宋_GB2312"/>
          <w:b/>
          <w:bCs/>
          <w:sz w:val="32"/>
          <w:szCs w:val="32"/>
          <w:lang w:val="en-US" w:eastAsia="zh-CN"/>
        </w:rPr>
        <w:t>7</w:t>
      </w:r>
      <w:r>
        <w:rPr>
          <w:rFonts w:hint="eastAsia" w:ascii="仿宋_GB2312" w:hAnsi="仿宋_GB2312" w:eastAsia="仿宋_GB2312" w:cs="仿宋_GB2312"/>
          <w:b/>
          <w:bCs/>
          <w:sz w:val="32"/>
          <w:szCs w:val="32"/>
          <w:lang w:eastAsia="zh-CN"/>
        </w:rPr>
        <w:t>分）</w:t>
      </w:r>
    </w:p>
    <w:p w14:paraId="2F37F63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近三年律所承担过的政府部门法律顾问服务项目或面向岳阳市中小企业提供公益性法律服务项目，每提供一项得0.5分，最高不超过</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lang w:eastAsia="zh-CN"/>
        </w:rPr>
        <w:t>分。</w:t>
      </w:r>
    </w:p>
    <w:p w14:paraId="5F39E29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二、服务部分（</w:t>
      </w:r>
      <w:r>
        <w:rPr>
          <w:rFonts w:hint="eastAsia" w:ascii="黑体" w:hAnsi="黑体" w:eastAsia="黑体" w:cs="黑体"/>
          <w:sz w:val="32"/>
          <w:szCs w:val="32"/>
          <w:lang w:val="en-US" w:eastAsia="zh-CN"/>
        </w:rPr>
        <w:t>6</w:t>
      </w:r>
      <w:r>
        <w:rPr>
          <w:rFonts w:hint="eastAsia" w:ascii="黑体" w:hAnsi="黑体" w:eastAsia="黑体" w:cs="黑体"/>
          <w:sz w:val="32"/>
          <w:szCs w:val="32"/>
          <w:lang w:eastAsia="zh-CN"/>
        </w:rPr>
        <w:t>0分）</w:t>
      </w:r>
    </w:p>
    <w:p w14:paraId="7E3E4999">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（一）服务内容响应与全覆盖（18分）</w:t>
      </w:r>
    </w:p>
    <w:p w14:paraId="25EEF94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律所提供的服务方案完全响应并覆盖本采购文件1</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lang w:eastAsia="zh-CN"/>
        </w:rPr>
        <w:t>项核心服务内容，按以下三档打分：</w:t>
      </w:r>
    </w:p>
    <w:p w14:paraId="34E0A41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12–18分：完全响应</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lang w:eastAsia="zh-CN"/>
        </w:rPr>
        <w:t>项全部服务内容，逐项明确服务形式、交付成果，方案完整、条理清晰、高度贴合采购需求。</w:t>
      </w:r>
    </w:p>
    <w:p w14:paraId="3DE76BA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6–11分：基本响应</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lang w:eastAsia="zh-CN"/>
        </w:rPr>
        <w:t>项服务内容，无重大缺项，服务框架完整，但细节完善度一般。</w:t>
      </w:r>
    </w:p>
    <w:p w14:paraId="7DDBB6C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0–5分：存在明显服务缺项，内容简单、针对性不足，或未提供相关内容。</w:t>
      </w:r>
    </w:p>
    <w:p w14:paraId="1205A9E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1</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lang w:eastAsia="zh-CN"/>
        </w:rPr>
        <w:t>项服务内容：日常法律咨询、合同/协议审查、规范性文件审查、重大决策法律支持、涉法涉诉信访与突发事件处理、</w:t>
      </w:r>
      <w:r>
        <w:rPr>
          <w:rFonts w:hint="eastAsia" w:ascii="仿宋_GB2312" w:hAnsi="仿宋_GB2312" w:eastAsia="仿宋_GB2312" w:cs="仿宋_GB2312"/>
          <w:sz w:val="32"/>
          <w:szCs w:val="32"/>
          <w:lang w:val="en-US" w:eastAsia="zh-CN"/>
        </w:rPr>
        <w:t>涉诉事务协助与诉讼</w:t>
      </w:r>
      <w:r>
        <w:rPr>
          <w:rFonts w:hint="eastAsia" w:ascii="仿宋_GB2312" w:hAnsi="仿宋_GB2312" w:eastAsia="仿宋_GB2312" w:cs="仿宋_GB2312"/>
          <w:sz w:val="32"/>
          <w:szCs w:val="32"/>
          <w:lang w:eastAsia="zh-CN"/>
        </w:rPr>
        <w:t>、非诉讼法律事务、法治宣讲与培训、行政执法决定审查、法治政府建设配套服务。</w:t>
      </w:r>
    </w:p>
    <w:p w14:paraId="6C1832F4">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（二）工业和信息化专项服务方案（</w:t>
      </w:r>
      <w:r>
        <w:rPr>
          <w:rFonts w:hint="eastAsia" w:ascii="仿宋_GB2312" w:hAnsi="仿宋_GB2312" w:eastAsia="仿宋_GB2312" w:cs="仿宋_GB2312"/>
          <w:b/>
          <w:bCs/>
          <w:sz w:val="32"/>
          <w:szCs w:val="32"/>
          <w:lang w:val="en-US" w:eastAsia="zh-CN"/>
        </w:rPr>
        <w:t>2</w:t>
      </w:r>
      <w:r>
        <w:rPr>
          <w:rFonts w:hint="eastAsia" w:ascii="仿宋_GB2312" w:hAnsi="仿宋_GB2312" w:eastAsia="仿宋_GB2312" w:cs="仿宋_GB2312"/>
          <w:b/>
          <w:bCs/>
          <w:sz w:val="32"/>
          <w:szCs w:val="32"/>
          <w:lang w:eastAsia="zh-CN"/>
        </w:rPr>
        <w:t>6分）</w:t>
      </w:r>
    </w:p>
    <w:p w14:paraId="56D0ED6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针对工业和信息化领域行政执法、</w:t>
      </w:r>
      <w:r>
        <w:rPr>
          <w:rFonts w:hint="eastAsia" w:ascii="仿宋_GB2312" w:hAnsi="仿宋_GB2312" w:eastAsia="仿宋_GB2312" w:cs="仿宋_GB2312"/>
          <w:sz w:val="32"/>
          <w:szCs w:val="32"/>
          <w:lang w:val="en-US" w:eastAsia="zh-CN"/>
        </w:rPr>
        <w:t>改制遗留问题处理、</w:t>
      </w:r>
      <w:r>
        <w:rPr>
          <w:rFonts w:hint="eastAsia" w:ascii="仿宋_GB2312" w:hAnsi="仿宋_GB2312" w:eastAsia="仿宋_GB2312" w:cs="仿宋_GB2312"/>
          <w:sz w:val="32"/>
          <w:szCs w:val="32"/>
          <w:lang w:eastAsia="zh-CN"/>
        </w:rPr>
        <w:t>法治宣传教育培训、为岳阳市中小企业提供公益性法律咨询服务等制定专项服务方案，按以下三档打分：</w:t>
      </w:r>
    </w:p>
    <w:p w14:paraId="7FF00C8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15</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26</w:t>
      </w:r>
      <w:r>
        <w:rPr>
          <w:rFonts w:hint="eastAsia" w:ascii="仿宋_GB2312" w:hAnsi="仿宋_GB2312" w:eastAsia="仿宋_GB2312" w:cs="仿宋_GB2312"/>
          <w:sz w:val="32"/>
          <w:szCs w:val="32"/>
          <w:lang w:eastAsia="zh-CN"/>
        </w:rPr>
        <w:t>分：专项方案完整、深度贴合业务，可操作性强，对行政执法、信访处置、法治培训、法律服务等有专门设计。</w:t>
      </w:r>
    </w:p>
    <w:p w14:paraId="1527726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15</w:t>
      </w:r>
      <w:r>
        <w:rPr>
          <w:rFonts w:hint="eastAsia" w:ascii="仿宋_GB2312" w:hAnsi="仿宋_GB2312" w:eastAsia="仿宋_GB2312" w:cs="仿宋_GB2312"/>
          <w:sz w:val="32"/>
          <w:szCs w:val="32"/>
          <w:lang w:eastAsia="zh-CN"/>
        </w:rPr>
        <w:t>分：专项方案较完整，能体现工业和信息化领域特点，具备基本可操作性，但专业性与针对性一般。</w:t>
      </w:r>
    </w:p>
    <w:p w14:paraId="308D7AA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0–</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lang w:eastAsia="zh-CN"/>
        </w:rPr>
        <w:t>分：方案空泛无针对性，或未提供专项方案。</w:t>
      </w:r>
    </w:p>
    <w:p w14:paraId="164B9890">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（三）服务响应与驻场保障方案（</w:t>
      </w:r>
      <w:r>
        <w:rPr>
          <w:rFonts w:hint="eastAsia" w:ascii="仿宋_GB2312" w:hAnsi="仿宋_GB2312" w:eastAsia="仿宋_GB2312" w:cs="仿宋_GB2312"/>
          <w:b/>
          <w:bCs/>
          <w:sz w:val="32"/>
          <w:szCs w:val="32"/>
          <w:lang w:val="en-US" w:eastAsia="zh-CN"/>
        </w:rPr>
        <w:t>10</w:t>
      </w:r>
      <w:r>
        <w:rPr>
          <w:rFonts w:hint="eastAsia" w:ascii="仿宋_GB2312" w:hAnsi="仿宋_GB2312" w:eastAsia="仿宋_GB2312" w:cs="仿宋_GB2312"/>
          <w:b/>
          <w:bCs/>
          <w:sz w:val="32"/>
          <w:szCs w:val="32"/>
          <w:lang w:eastAsia="zh-CN"/>
        </w:rPr>
        <w:t>分）</w:t>
      </w:r>
    </w:p>
    <w:p w14:paraId="7D6FFA9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明确24小时紧急法律事务响应、每月驻场服务不少于</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个工作日、专属承办律师负责制等内容，按以下三档打分：</w:t>
      </w:r>
    </w:p>
    <w:p w14:paraId="4B4E2FB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lang w:eastAsia="zh-CN"/>
        </w:rPr>
        <w:t>分：流程清晰、保障措施全面到位。</w:t>
      </w:r>
    </w:p>
    <w:p w14:paraId="00F61CC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lang w:eastAsia="zh-CN"/>
        </w:rPr>
        <w:t>分：响应机制基本满足采购要求。</w:t>
      </w:r>
    </w:p>
    <w:p w14:paraId="014727D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0–</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分：仅简单提及或未提供相关内容。</w:t>
      </w:r>
    </w:p>
    <w:p w14:paraId="730772B1">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（四）服务成果交付与台账管理（6分）</w:t>
      </w:r>
    </w:p>
    <w:p w14:paraId="149CAEA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承诺书面法律意见签章、建立法律服务台账、按年提交年度总结，按以下三档打分：</w:t>
      </w:r>
    </w:p>
    <w:p w14:paraId="6E70BB2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5–6分：承诺全面、流程规范。</w:t>
      </w:r>
    </w:p>
    <w:p w14:paraId="4289A7E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3–4分：基本满足成果交付与台账管理要求。</w:t>
      </w:r>
    </w:p>
    <w:p w14:paraId="0B0EC99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0–2分：部分内容缺失或未提供相关内容。</w:t>
      </w:r>
    </w:p>
    <w:p w14:paraId="463BE60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三、价格部分（</w:t>
      </w:r>
      <w:r>
        <w:rPr>
          <w:rFonts w:hint="eastAsia" w:ascii="黑体" w:hAnsi="黑体" w:eastAsia="黑体" w:cs="黑体"/>
          <w:sz w:val="32"/>
          <w:szCs w:val="32"/>
          <w:lang w:val="en-US" w:eastAsia="zh-CN"/>
        </w:rPr>
        <w:t>2</w:t>
      </w:r>
      <w:r>
        <w:rPr>
          <w:rFonts w:hint="eastAsia" w:ascii="黑体" w:hAnsi="黑体" w:eastAsia="黑体" w:cs="黑体"/>
          <w:sz w:val="32"/>
          <w:szCs w:val="32"/>
          <w:lang w:eastAsia="zh-CN"/>
        </w:rPr>
        <w:t>0分）</w:t>
      </w:r>
    </w:p>
    <w:p w14:paraId="31DA7FF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报价得分按照低价优先法计算，满足采购需求且方案报价最低的投标人报价为评标基准价，其价格分为满分。</w:t>
      </w:r>
    </w:p>
    <w:p w14:paraId="5AEA344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其他律所的价格得分统一按照下列公式计算：</w:t>
      </w:r>
    </w:p>
    <w:p w14:paraId="4A12A33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报价得分=（评标基准价／投标报价）×</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0</w:t>
      </w:r>
    </w:p>
    <w:p w14:paraId="3F7A884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四、总分计算</w:t>
      </w:r>
    </w:p>
    <w:p w14:paraId="1FB1CE56">
      <w:pPr>
        <w:keepNext w:val="0"/>
        <w:keepLines w:val="0"/>
        <w:pageBreakBefore w:val="0"/>
        <w:widowControl w:val="0"/>
        <w:kinsoku/>
        <w:wordWrap/>
        <w:overflowPunct/>
        <w:topLinePunct w:val="0"/>
        <w:autoSpaceDE/>
        <w:autoSpaceDN/>
        <w:bidi w:val="0"/>
        <w:adjustRightInd/>
        <w:snapToGrid/>
        <w:spacing w:afterAutospacing="0" w:line="560" w:lineRule="exact"/>
        <w:ind w:firstLine="640" w:firstLineChars="200"/>
        <w:jc w:val="left"/>
        <w:textAlignment w:val="auto"/>
        <w:outlineLvl w:val="9"/>
        <w:rPr>
          <w:rFonts w:hint="default" w:ascii="仿宋_GB2312" w:hAnsi="仿宋_GB2312" w:eastAsia="仿宋_GB2312" w:cs="仿宋_GB2312"/>
          <w:b w:val="0"/>
          <w:bCs w:val="0"/>
          <w:i w:val="0"/>
          <w:iCs w:val="0"/>
          <w:caps w:val="0"/>
          <w:color w:val="auto"/>
          <w:spacing w:val="0"/>
          <w:sz w:val="32"/>
          <w:szCs w:val="32"/>
          <w:highlight w:val="none"/>
          <w:shd w:val="clear" w:color="auto" w:fill="FFFFFF"/>
          <w:lang w:val="en-US" w:eastAsia="zh-CN"/>
        </w:rPr>
      </w:pPr>
      <w:r>
        <w:rPr>
          <w:rFonts w:hint="eastAsia" w:ascii="仿宋_GB2312" w:hAnsi="仿宋_GB2312" w:eastAsia="仿宋_GB2312" w:cs="仿宋_GB2312"/>
          <w:sz w:val="32"/>
          <w:szCs w:val="32"/>
          <w:lang w:eastAsia="zh-CN"/>
        </w:rPr>
        <w:t>评标总得分（材料部分）=综合实力得分+技术部分得分+价格部分得分</w:t>
      </w:r>
    </w:p>
    <w:p w14:paraId="5077C11B"/>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Nimbus Roman No9 L">
    <w:panose1 w:val="00000000000000000000"/>
    <w:charset w:val="00"/>
    <w:family w:val="auto"/>
    <w:pitch w:val="default"/>
    <w:sig w:usb0="00000000" w:usb1="00000000" w:usb2="00000000" w:usb3="00000000" w:csb0="0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
    <w:panose1 w:val="02010609060101010101"/>
    <w:charset w:val="86"/>
    <w:family w:val="auto"/>
    <w:pitch w:val="default"/>
    <w:sig w:usb0="800002BF" w:usb1="38CF7CFA" w:usb2="00000016" w:usb3="00000000" w:csb0="00040001" w:csb1="00000000"/>
  </w:font>
  <w:font w:name="方正仿宋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97E7D62"/>
    <w:rsid w:val="0FECCB79"/>
    <w:rsid w:val="37795AE4"/>
    <w:rsid w:val="37DB992A"/>
    <w:rsid w:val="3BDFA13F"/>
    <w:rsid w:val="3BFF2F5E"/>
    <w:rsid w:val="5AFD59E3"/>
    <w:rsid w:val="60E7AEF5"/>
    <w:rsid w:val="6FC733BE"/>
    <w:rsid w:val="73EBD3E1"/>
    <w:rsid w:val="78BFF428"/>
    <w:rsid w:val="797E7D62"/>
    <w:rsid w:val="7BF7D319"/>
    <w:rsid w:val="7C7F7167"/>
    <w:rsid w:val="7FF67029"/>
    <w:rsid w:val="B6F351FE"/>
    <w:rsid w:val="B7AE179B"/>
    <w:rsid w:val="BC23D52D"/>
    <w:rsid w:val="BE7F3AB8"/>
    <w:rsid w:val="BFCF0197"/>
    <w:rsid w:val="C7DD05CF"/>
    <w:rsid w:val="C7F738FD"/>
    <w:rsid w:val="CFF7D0C8"/>
    <w:rsid w:val="D37D0081"/>
    <w:rsid w:val="E3FE6D57"/>
    <w:rsid w:val="E936D92A"/>
    <w:rsid w:val="EFF7A952"/>
    <w:rsid w:val="F3CE1A4D"/>
    <w:rsid w:val="F77EDACB"/>
    <w:rsid w:val="F7BF8631"/>
    <w:rsid w:val="F7DF96DD"/>
    <w:rsid w:val="FF7FB53A"/>
    <w:rsid w:val="FFCDBD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10"/>
    <w:qFormat/>
    <w:uiPriority w:val="0"/>
    <w:pPr>
      <w:keepNext/>
      <w:keepLines/>
      <w:spacing w:beforeAutospacing="0" w:afterAutospacing="0" w:line="560" w:lineRule="exact"/>
      <w:ind w:firstLine="0" w:firstLineChars="0"/>
      <w:jc w:val="center"/>
      <w:outlineLvl w:val="0"/>
    </w:pPr>
    <w:rPr>
      <w:rFonts w:ascii="Times New Roman" w:hAnsi="Times New Roman" w:eastAsia="方正小标宋简体"/>
      <w:kern w:val="44"/>
      <w:sz w:val="44"/>
    </w:rPr>
  </w:style>
  <w:style w:type="paragraph" w:styleId="3">
    <w:name w:val="heading 2"/>
    <w:basedOn w:val="1"/>
    <w:next w:val="1"/>
    <w:semiHidden/>
    <w:unhideWhenUsed/>
    <w:qFormat/>
    <w:uiPriority w:val="0"/>
    <w:pPr>
      <w:spacing w:before="0" w:beforeAutospacing="0" w:after="0" w:afterAutospacing="0" w:line="560" w:lineRule="exact"/>
      <w:ind w:firstLine="640" w:firstLineChars="200"/>
      <w:jc w:val="left"/>
      <w:outlineLvl w:val="1"/>
    </w:pPr>
    <w:rPr>
      <w:rFonts w:hint="eastAsia" w:ascii="宋体" w:hAnsi="宋体" w:eastAsia="黑体" w:cs="宋体"/>
      <w:kern w:val="0"/>
      <w:szCs w:val="36"/>
      <w:lang w:bidi="ar"/>
    </w:rPr>
  </w:style>
  <w:style w:type="paragraph" w:styleId="4">
    <w:name w:val="heading 3"/>
    <w:basedOn w:val="1"/>
    <w:next w:val="1"/>
    <w:link w:val="9"/>
    <w:semiHidden/>
    <w:unhideWhenUsed/>
    <w:qFormat/>
    <w:uiPriority w:val="0"/>
    <w:pPr>
      <w:keepNext/>
      <w:keepLines/>
      <w:spacing w:beforeLines="0" w:beforeAutospacing="0" w:afterLines="0" w:afterAutospacing="0" w:line="560" w:lineRule="exact"/>
      <w:ind w:firstLine="640" w:firstLineChars="200"/>
      <w:outlineLvl w:val="2"/>
    </w:pPr>
    <w:rPr>
      <w:rFonts w:ascii="Calibri" w:hAnsi="Calibri" w:eastAsia="楷体" w:cs="Times New Roman"/>
      <w:b/>
      <w:sz w:val="32"/>
    </w:rPr>
  </w:style>
  <w:style w:type="paragraph" w:styleId="5">
    <w:name w:val="heading 4"/>
    <w:basedOn w:val="1"/>
    <w:next w:val="1"/>
    <w:semiHidden/>
    <w:unhideWhenUsed/>
    <w:qFormat/>
    <w:uiPriority w:val="0"/>
    <w:pPr>
      <w:keepNext/>
      <w:keepLines/>
      <w:spacing w:beforeLines="0" w:beforeAutospacing="0" w:afterLines="0" w:afterAutospacing="0" w:line="560" w:lineRule="exact"/>
      <w:outlineLvl w:val="3"/>
    </w:pPr>
    <w:rPr>
      <w:rFonts w:ascii="Arial" w:hAnsi="Arial" w:eastAsia="仿宋_GB2312"/>
      <w:b/>
      <w:sz w:val="32"/>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customStyle="1" w:styleId="8">
    <w:name w:val="署名"/>
    <w:basedOn w:val="1"/>
    <w:qFormat/>
    <w:uiPriority w:val="0"/>
    <w:pPr>
      <w:ind w:firstLine="0" w:firstLineChars="0"/>
      <w:jc w:val="center"/>
    </w:pPr>
    <w:rPr>
      <w:rFonts w:eastAsia="楷体"/>
    </w:rPr>
  </w:style>
  <w:style w:type="character" w:customStyle="1" w:styleId="9">
    <w:name w:val="标题 3 Char"/>
    <w:link w:val="4"/>
    <w:qFormat/>
    <w:uiPriority w:val="0"/>
    <w:rPr>
      <w:rFonts w:ascii="Calibri" w:hAnsi="Calibri" w:eastAsia="楷体" w:cs="Times New Roman"/>
      <w:b/>
      <w:sz w:val="32"/>
    </w:rPr>
  </w:style>
  <w:style w:type="character" w:customStyle="1" w:styleId="10">
    <w:name w:val="标题 1 Char1"/>
    <w:link w:val="2"/>
    <w:qFormat/>
    <w:uiPriority w:val="0"/>
    <w:rPr>
      <w:rFonts w:ascii="Times New Roman" w:hAnsi="Times New Roman" w:eastAsia="方正小标宋简体"/>
      <w:kern w:val="44"/>
      <w:sz w:val="4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2026-08-27T10:51:00Z</dcterms:created>
  <dc:creator>刘民蕊</dc:creator>
  <cp:lastModifiedBy>刘民蕊</cp:lastModifiedBy>
  <dcterms:modified xsi:type="dcterms:W3CDTF">2026-08-27T10:52:32Z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ICV">
    <vt:lpwstr>33B68C6B69054D734FA68F6A8A83479A_41</vt:lpwstr>
  </property>
</Properties>
</file>